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82" w:rsidRPr="002A714C" w:rsidRDefault="00454582" w:rsidP="002A7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582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8" o:title=""/>
          </v:shape>
          <o:OLEObject Type="Embed" ProgID="Word.Picture.8" ShapeID="_x0000_i1025" DrawAspect="Content" ObjectID="_1720951655" r:id="rId9"/>
        </w:object>
      </w:r>
      <w:r w:rsidRPr="00454582">
        <w:rPr>
          <w:rFonts w:ascii="Times New Roman" w:hAnsi="Times New Roman" w:cs="Times New Roman"/>
          <w:sz w:val="28"/>
          <w:szCs w:val="28"/>
        </w:rPr>
        <w:t xml:space="preserve">  </w:t>
      </w:r>
      <w:r w:rsidR="002A7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A714C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</w:t>
      </w:r>
      <w:r w:rsidR="002A714C" w:rsidRPr="002A714C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A714C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НИЖНЕГОРСКИЙ  РАЙОН           </w:t>
      </w:r>
      <w:r w:rsidR="002A714C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</w:t>
      </w:r>
      <w:r w:rsidRPr="002A714C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АДМИНИСТРАЦИЯ  НОВОГРИГОРЬЕВСКОГО СЕЛЬСКОГО  ПОСЕЛЕНИЯ </w:t>
      </w:r>
    </w:p>
    <w:p w:rsidR="00454582" w:rsidRPr="002A714C" w:rsidRDefault="00454582" w:rsidP="00454582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2A714C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r w:rsidR="002A714C" w:rsidRPr="002A714C">
        <w:rPr>
          <w:rFonts w:ascii="Times New Roman" w:hAnsi="Times New Roman" w:cs="Times New Roman"/>
          <w:spacing w:val="-28"/>
          <w:sz w:val="28"/>
          <w:szCs w:val="28"/>
        </w:rPr>
        <w:t xml:space="preserve"> №116</w:t>
      </w:r>
    </w:p>
    <w:p w:rsidR="002A714C" w:rsidRPr="002A714C" w:rsidRDefault="002A714C" w:rsidP="002A714C">
      <w:pPr>
        <w:rPr>
          <w:rFonts w:ascii="Times New Roman" w:hAnsi="Times New Roman" w:cs="Times New Roman"/>
          <w:spacing w:val="-28"/>
          <w:sz w:val="28"/>
          <w:szCs w:val="28"/>
        </w:rPr>
      </w:pPr>
      <w:r w:rsidRPr="002A714C">
        <w:rPr>
          <w:rFonts w:ascii="Times New Roman" w:hAnsi="Times New Roman" w:cs="Times New Roman"/>
          <w:spacing w:val="-28"/>
          <w:sz w:val="28"/>
          <w:szCs w:val="28"/>
        </w:rPr>
        <w:t xml:space="preserve">От 03.08.2022 г.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2A714C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Start"/>
      <w:r w:rsidRPr="002A714C">
        <w:rPr>
          <w:rFonts w:ascii="Times New Roman" w:hAnsi="Times New Roman" w:cs="Times New Roman"/>
          <w:spacing w:val="-28"/>
          <w:sz w:val="28"/>
          <w:szCs w:val="28"/>
        </w:rPr>
        <w:t>.Н</w:t>
      </w:r>
      <w:proofErr w:type="gramEnd"/>
      <w:r w:rsidRPr="002A714C">
        <w:rPr>
          <w:rFonts w:ascii="Times New Roman" w:hAnsi="Times New Roman" w:cs="Times New Roman"/>
          <w:spacing w:val="-28"/>
          <w:sz w:val="28"/>
          <w:szCs w:val="28"/>
        </w:rPr>
        <w:t>овогригорьевка</w:t>
      </w:r>
    </w:p>
    <w:p w:rsidR="00D5636F" w:rsidRPr="00B3636E" w:rsidRDefault="00B3636E" w:rsidP="002A714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</w:t>
      </w:r>
      <w:r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EE9" w:rsidRDefault="00B3636E" w:rsidP="00FA6B6F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Жилищным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01.10.2003 № 131–ФЗ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Правительства Российс</w:t>
      </w:r>
      <w:r w:rsidR="00CE41E7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28.01.2006 № 47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 и жилого дома садовым домом"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 Республи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gramEnd"/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Крым от 21.08.2014 № 54-ЗРК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основах местного с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амоуправления в Республике Крым"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льного образования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Новогригорьевское</w:t>
      </w:r>
      <w:proofErr w:type="spellEnd"/>
      <w:r w:rsid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Нижнегорского</w:t>
      </w:r>
      <w:r w:rsid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Республики Крым, администрация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FA6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D6EE9" w:rsidRPr="00AD6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A6B6F" w:rsidRDefault="00454582" w:rsidP="00FA6B6F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BF282D" w:rsidRP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Start"/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</w:p>
    <w:p w:rsidR="00ED3A62" w:rsidRPr="00ED3A62" w:rsidRDefault="00454582" w:rsidP="00FA6B6F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3A62" w:rsidRPr="00E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на информационном стенде в здании администрации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ED3A62" w:rsidRPr="00E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официальном</w:t>
      </w:r>
      <w:r w:rsid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</w:t>
      </w:r>
      <w:r w:rsidR="0023493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ED3A62" w:rsidRPr="00E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079" w:rsidRPr="001C3079" w:rsidRDefault="00FA6B6F" w:rsidP="00FA6B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0A35" w:rsidRPr="0076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6DEE" w:rsidRPr="0093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</w:t>
      </w:r>
      <w:r w:rsid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</w:t>
      </w:r>
      <w:r w:rsidR="00936DEE" w:rsidRPr="0093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481347" w:rsidRPr="00FA6B6F" w:rsidRDefault="00FA6B6F" w:rsidP="00FA6B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C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A35" w:rsidRPr="0076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03A3" w:rsidRPr="00D00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D003A3" w:rsidRPr="00D00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C0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C022F9" w:rsidRPr="00234939" w:rsidRDefault="0023493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="0045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022F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C022F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EE9" w:rsidRPr="00234939" w:rsidRDefault="0023493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– </w:t>
      </w:r>
      <w:r w:rsidR="00C022F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D6EE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003A3" w:rsidRDefault="00454582" w:rsidP="0045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EE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r w:rsid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 А.М.</w:t>
      </w:r>
    </w:p>
    <w:p w:rsidR="00234939" w:rsidRPr="002A714C" w:rsidRDefault="00FA6B6F" w:rsidP="00FA6B6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A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34939" w:rsidRPr="002A714C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FA6B6F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23C8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bookmarkStart w:id="0" w:name="_GoBack"/>
      <w:proofErr w:type="spellStart"/>
      <w:r w:rsidR="00454582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Новогригорьевского</w:t>
      </w:r>
      <w:proofErr w:type="spellEnd"/>
      <w:r w:rsidR="00CB3DDB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Нижнегорского района Республики Крым </w:t>
      </w:r>
      <w:bookmarkEnd w:id="0"/>
    </w:p>
    <w:p w:rsidR="00DA2217" w:rsidRPr="002A714C" w:rsidRDefault="00234939" w:rsidP="002A714C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A714C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A714C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A714C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2г. </w:t>
      </w:r>
      <w:r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2A714C" w:rsidRPr="002A7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116</w:t>
      </w:r>
    </w:p>
    <w:p w:rsidR="001C3D68" w:rsidRPr="004826FA" w:rsidRDefault="001C3D68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="00DA2217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E41E7" w:rsidRPr="002A714C" w:rsidRDefault="00DA2217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межведомственной комиссии </w:t>
      </w:r>
      <w:r w:rsidR="001C3D68" w:rsidRPr="002A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признания помещения </w:t>
      </w:r>
      <w:r w:rsidRPr="002A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жилым помещением, жилого помещения непригодным для проживания, многоквартирного до</w:t>
      </w:r>
      <w:r w:rsidR="001C3D68" w:rsidRPr="002A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аварийным и подлежащим сносу или </w:t>
      </w:r>
      <w:r w:rsidRPr="002A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реконструкции</w:t>
      </w:r>
    </w:p>
    <w:p w:rsidR="001C3D68" w:rsidRPr="004826FA" w:rsidRDefault="001C3D68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41E7" w:rsidRPr="004826FA" w:rsidRDefault="00CE41E7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 межведомственной комиссии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Положение) устанавливает порядок организации ее работы.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Комиссия)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постоянно действующим коллегиальным органом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случаев, предусмотренных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7(1)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твержденного п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Правительства Российской Федерации от 28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.01.2006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 (далее - Постановление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47), в целях принятия решения о признании помещения жилым помещением, жилого помещения пригодным (непригодным) для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 граждан,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Емельяновское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 района 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иными муниципальными правовыми актами,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Положением.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Основные задачи</w:t>
      </w:r>
      <w:r w:rsidR="00EB7436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функции</w:t>
      </w: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7436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Комиссии является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и обследование помещения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(многоквартирного дома) на предмет соответствия требованиям Постановления       № 47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признания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жилым помещением, жилого помещения пригодным (непригодным) для проживания граждан, 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функциями Комиссии являются: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0" w:history="1">
        <w:r w:rsidRPr="004826FA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первым       пункта 42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саморегулируемой</w:t>
      </w:r>
      <w:proofErr w:type="spell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соответствующим (не соответствующим) установленным в 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Постановлении № 47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EB7436" w:rsidRPr="004826FA" w:rsidRDefault="007A2A1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оценке пригодности (непригодности) жилых помещений для постоянного проживания;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заключения в порядке, предусмотренном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47 Постановления № 47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форме согласно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приложению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заключение);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 обследовани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помещения (в случае принятия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 решения о необходимости проведения обследования)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2 к настоящему Положению (далее – акт)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на основании выводов и рекомендаций, указанных в акте, заключения.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решение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специализированной организации, проводящей обследование;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и собственнику жилого помещения.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Порядок формирования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3AA0" w:rsidRPr="004826FA" w:rsidRDefault="00EB51C9" w:rsidP="002A7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3.1. Состав Комиссии утверждается постановлением администрации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В состав Комиссии включаются: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13"/>
      <w:bookmarkEnd w:id="1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зультатов инженерных</w:t>
      </w:r>
      <w:proofErr w:type="gramEnd"/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изысканий;</w:t>
      </w:r>
    </w:p>
    <w:p w:rsidR="00CD3A16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 организации и квалифицированные экспе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рты (с правом решающего голоса);</w:t>
      </w:r>
    </w:p>
    <w:p w:rsidR="00A53AA0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(уполномоченные ими лица)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правом совещательного голоса)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помещений, в отношении которых рассматривается вопрос на заседании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омиссии. 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факсограммой</w:t>
      </w:r>
      <w:proofErr w:type="spell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телефонограммой не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CD3A1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привлечении к работе в Комиссии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правом совещательного голоса собственник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помещения (уполномоченного им лица), и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о дате, времени обследования помещения и (или) о дате,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органу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решение Комиссией принимается в его отсутствие. </w:t>
      </w:r>
    </w:p>
    <w:p w:rsidR="00CD3A16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 Комиссии руководит председатель Комиссии.</w:t>
      </w:r>
    </w:p>
    <w:p w:rsidR="00CD3A16" w:rsidRPr="004826FA" w:rsidRDefault="00CD3A16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EB51C9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Председатель Комиссии: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председательствует на заседаниях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подписывает протоколы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 поручения членам Комиссии; </w:t>
      </w:r>
    </w:p>
    <w:p w:rsidR="00B3184F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решений Комиссии. </w:t>
      </w:r>
    </w:p>
    <w:p w:rsidR="00EB51C9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Секретарь Комиссии обеспечивает: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заявлений и прилагаемых к ним документов, их регистрацию;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формирование повестки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комплектацию материалов для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протокола заседания Комиссии, выписок из протокола, заключения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акта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копий протокола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членам Комиссии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иным заинтересованным лицам;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заключений Комиссии заинтересованным лицам.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Права и обязанности членов Комиссии.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вправе: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обязаны: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присутствовать на заседаниях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поручения председателя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по уважительной причине присутствовать на заседании Комиссии член Комиссии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извещает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этом в письменной форме секретаря Комиссии за 2 дня до дня заседания Комиссии.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Порядок работы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многоквартирных и частных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47"/>
      <w:bookmarkEnd w:id="2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</w:t>
      </w:r>
      <w:hyperlink r:id="rId11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21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.08.2019 № 1082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проведения экспертизы жилого помещения, которому причинен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бюджетов бюджетной системы Российской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жилого дома садовым домом"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аявитель), либо сводный перечень объектов (жилых помещений).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50"/>
      <w:bookmarkEnd w:id="3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Заявитель представляет в Комиссию следующие документы: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электронной форме: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из Единого государственного реестра недвижимости о правах на жилое помещение;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технический паспорт жилого помещения, а для нежилых помещений - технический план;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2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третьим пункта 44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Постановлении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требованиям.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информационной системы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портал государственных 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(функций)"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68"/>
      <w:bookmarkEnd w:id="4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непредставления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документов, предусмотренных </w:t>
      </w:r>
      <w:hyperlink w:anchor="p50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73"/>
      <w:bookmarkEnd w:id="5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работы Комиссия принимает одно из следующих решений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виде заключения)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оценке соответствия помещений и многоквартирных домов установленным требованиям: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процессе эксплуатации характеристик жилого помещения в соответствие с требованиями, установленными </w:t>
      </w:r>
      <w:hyperlink r:id="rId14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47; </w:t>
      </w:r>
    </w:p>
    <w:p w:rsidR="00EB51C9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7812BD" w:rsidRPr="004826FA" w:rsidRDefault="007812BD" w:rsidP="0078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9639A7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основания принят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решения. Если число голосов "за" и "против"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могут выразить свое особое мнение в письменной форме</w:t>
      </w:r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приложить его к заключению.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обследования помещения Комиссия составляет в 3 экземплярах </w:t>
      </w:r>
      <w:hyperlink r:id="rId15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w:anchor="p13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третьем пункта 3.2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в течение 3 календарных дней со дня принятия Комиссией решения по итогам работы направляет: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87"/>
      <w:bookmarkEnd w:id="6"/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экземпляра заключения, указанного в </w:t>
      </w:r>
      <w:hyperlink w:anchor="p73" w:history="1">
        <w:r w:rsidR="009639A7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власти,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последующего принятия решения, предусмотренного абзацем седьмым </w:t>
      </w:r>
      <w:hyperlink r:id="rId16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7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47, и направления з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вручении или выдает под подпись;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экземпляр заключения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7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36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Постановления №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47, секретарь Комиссии направляет решение, указанное в </w:t>
      </w:r>
      <w:hyperlink w:anchor="p73" w:history="1">
        <w:r w:rsidR="00D01C75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собственнику жилья и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решения Комиссии. </w:t>
      </w:r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пункту 4.7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Положения, которое доводит до заинтересованных лиц. </w:t>
      </w:r>
      <w:proofErr w:type="gramEnd"/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20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обеспечения условий доступности для инвалидов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жилых помещений и общего имущества в многоквартирном доме, утвержденных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льства Российской Федерации от 09.07.2016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649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потребностей инвалидов"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оформляет в 3 экземплярах </w:t>
      </w:r>
      <w:hyperlink r:id="rId19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жилого помещения непригодным для проживания указанных граждан и в 5-дневный срок направляет один экземпляр в соответствующий федеральный орган исполнительной власти,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администрацию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второй экземпляр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(третий экземпляр остается в деле, сформированном Комиссией).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 w:rsidR="00D01C75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Заключение Комиссии является основанием для принятия администрацией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Новогригорьевского</w:t>
      </w:r>
      <w:proofErr w:type="spellEnd"/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 заключение Комиссии является основанием для принятия</w:t>
      </w:r>
      <w:r w:rsidR="00303CAF" w:rsidRPr="004826FA">
        <w:rPr>
          <w:color w:val="000000" w:themeColor="text1"/>
        </w:rPr>
        <w:t xml:space="preserve"> 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органом исполнительной власти, осуществляющим полномочия собственника помещения (многоквартирного дома),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  <w:proofErr w:type="gramEnd"/>
    </w:p>
    <w:p w:rsidR="00303CAF" w:rsidRPr="00454582" w:rsidRDefault="00D01C75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221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="00303CAF" w:rsidRPr="0045458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Приложение № 1</w:t>
      </w:r>
    </w:p>
    <w:p w:rsidR="00303CAF" w:rsidRPr="00454582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5458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54582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5458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Заключение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об оценке соответствия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требованиям, установленным в Постановлении № 47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(кем назначена, наименование органа местного самоуправления,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дата, номер решения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результатам рассмотренных документов 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(приводится перечень документов)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и   на  основании акта Комиссии, составленного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 обследования, 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проведения обследования), или указывается, что на основании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решения Комиссии обследование не проводилось)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приняла заключение о 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(приводится обоснование принятого Комиссией заключения об оценке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соответствия помещени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я(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многоквартирного дома) требованиям,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установленным в Постановлении № 47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Приложение к заключению: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перечень рассмотренных документов;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б) акт обследования помещения (в случае проведения обследования);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в) перечень   других   материалов,   запрошенных Комиссией;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г) особое мнение членов Комиссии: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Председатель Комиссии</w:t>
      </w:r>
    </w:p>
    <w:p w:rsidR="00303CAF" w:rsidRPr="004826FA" w:rsidRDefault="00454582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Члены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4826FA" w:rsidRPr="00454582" w:rsidRDefault="00454582" w:rsidP="0045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3CAF" w:rsidRPr="00454582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DA2217" w:rsidRPr="00454582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АКТ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обследования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 (многоквартирного дома),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в том числе наименования населенного пункта и улицы,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назначена, органа местного самоуправления, дата, номер решения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(ф.и.о., занимаемая должность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произвела    обследование    помещения    (многоквартирного 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заявлению 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(реквизиты заявителя: ф.и.о. и адрес - для физического лица,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для юридического лица)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составила настоящий акт обследования помещения (многоквартирного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дома) 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(адрес, принадлежность помещения, кадастровый номер, год ввода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в эксплуатацию)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Краткое   описание   состояния   жилого   помещения,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несущих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строительных конструкций инженерных  систем здания, оборудования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механизмов и прилегающей к зданию территории 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конкретного несоответствия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Оценка результатов проведенного   инструментального контроля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других видов контроля и исследований 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Рекомендации  К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 и предлагаемые меры,</w:t>
      </w:r>
      <w:r w:rsidR="00FA6B6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которые 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необходимо  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принять   для обеспечения  безопасности или создания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нормальных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условий для постоянного проживания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Заключение Комиссии по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обследования помещения ___________________________________________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Приложение к акту: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б) результаты лабораторных испытаний;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в) результаты исследований;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г) заключения экспертов специализированных организаций;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 другие материалы по решению межведомственной комиссии.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Председатель К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Члены 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(ф.и.о.)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303CAF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3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82" w:rsidRDefault="00454582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4582" w:rsidSect="00FA6B6F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BF" w:rsidRDefault="004F45BF" w:rsidP="008166AB">
      <w:pPr>
        <w:spacing w:after="0" w:line="240" w:lineRule="auto"/>
      </w:pPr>
      <w:r>
        <w:separator/>
      </w:r>
    </w:p>
  </w:endnote>
  <w:endnote w:type="continuationSeparator" w:id="0">
    <w:p w:rsidR="004F45BF" w:rsidRDefault="004F45BF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BF" w:rsidRDefault="004F45BF" w:rsidP="008166AB">
      <w:pPr>
        <w:spacing w:after="0" w:line="240" w:lineRule="auto"/>
      </w:pPr>
      <w:r>
        <w:separator/>
      </w:r>
    </w:p>
  </w:footnote>
  <w:footnote w:type="continuationSeparator" w:id="0">
    <w:p w:rsidR="004F45BF" w:rsidRDefault="004F45BF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70"/>
    <w:rsid w:val="00032E38"/>
    <w:rsid w:val="00084469"/>
    <w:rsid w:val="00092879"/>
    <w:rsid w:val="00097148"/>
    <w:rsid w:val="000B5519"/>
    <w:rsid w:val="000B6F6D"/>
    <w:rsid w:val="000C2799"/>
    <w:rsid w:val="000C5370"/>
    <w:rsid w:val="000E6146"/>
    <w:rsid w:val="00117296"/>
    <w:rsid w:val="00154D16"/>
    <w:rsid w:val="001C3079"/>
    <w:rsid w:val="001C3D68"/>
    <w:rsid w:val="00206275"/>
    <w:rsid w:val="00234939"/>
    <w:rsid w:val="002442CF"/>
    <w:rsid w:val="002650B3"/>
    <w:rsid w:val="0027489A"/>
    <w:rsid w:val="00275359"/>
    <w:rsid w:val="00291B82"/>
    <w:rsid w:val="002A714C"/>
    <w:rsid w:val="00303CAF"/>
    <w:rsid w:val="00314F2F"/>
    <w:rsid w:val="00330EC8"/>
    <w:rsid w:val="00343582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433FB5"/>
    <w:rsid w:val="00454582"/>
    <w:rsid w:val="00460874"/>
    <w:rsid w:val="00481347"/>
    <w:rsid w:val="004826FA"/>
    <w:rsid w:val="004B14DB"/>
    <w:rsid w:val="004F45BF"/>
    <w:rsid w:val="00525F8A"/>
    <w:rsid w:val="00530C64"/>
    <w:rsid w:val="005577AF"/>
    <w:rsid w:val="00574AA5"/>
    <w:rsid w:val="005B517D"/>
    <w:rsid w:val="005B7870"/>
    <w:rsid w:val="005F7AFC"/>
    <w:rsid w:val="00616A44"/>
    <w:rsid w:val="00650403"/>
    <w:rsid w:val="00663331"/>
    <w:rsid w:val="0068222D"/>
    <w:rsid w:val="006863DE"/>
    <w:rsid w:val="006A1922"/>
    <w:rsid w:val="006B39D7"/>
    <w:rsid w:val="006C31B8"/>
    <w:rsid w:val="006D443E"/>
    <w:rsid w:val="007115C5"/>
    <w:rsid w:val="00736775"/>
    <w:rsid w:val="00760397"/>
    <w:rsid w:val="00764005"/>
    <w:rsid w:val="00767047"/>
    <w:rsid w:val="007812BD"/>
    <w:rsid w:val="00791C97"/>
    <w:rsid w:val="007A2A1F"/>
    <w:rsid w:val="007B11F7"/>
    <w:rsid w:val="007D5BC9"/>
    <w:rsid w:val="00810437"/>
    <w:rsid w:val="008166AB"/>
    <w:rsid w:val="00833254"/>
    <w:rsid w:val="00843B63"/>
    <w:rsid w:val="00843C87"/>
    <w:rsid w:val="00884815"/>
    <w:rsid w:val="008A6B28"/>
    <w:rsid w:val="008F34CC"/>
    <w:rsid w:val="00936DEE"/>
    <w:rsid w:val="009639A7"/>
    <w:rsid w:val="009722F6"/>
    <w:rsid w:val="00973158"/>
    <w:rsid w:val="009B0B1A"/>
    <w:rsid w:val="009F335E"/>
    <w:rsid w:val="00A53AA0"/>
    <w:rsid w:val="00A542F4"/>
    <w:rsid w:val="00A66AC9"/>
    <w:rsid w:val="00A87D1D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5B82"/>
    <w:rsid w:val="00BE0317"/>
    <w:rsid w:val="00BE6868"/>
    <w:rsid w:val="00BF282D"/>
    <w:rsid w:val="00BF65C5"/>
    <w:rsid w:val="00C022F9"/>
    <w:rsid w:val="00C21535"/>
    <w:rsid w:val="00C33033"/>
    <w:rsid w:val="00C52E61"/>
    <w:rsid w:val="00C74892"/>
    <w:rsid w:val="00C86394"/>
    <w:rsid w:val="00CB3DDB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5636F"/>
    <w:rsid w:val="00D95338"/>
    <w:rsid w:val="00DA2217"/>
    <w:rsid w:val="00DC2F8F"/>
    <w:rsid w:val="00E247AB"/>
    <w:rsid w:val="00E60981"/>
    <w:rsid w:val="00E63FC7"/>
    <w:rsid w:val="00E82BF5"/>
    <w:rsid w:val="00E977AC"/>
    <w:rsid w:val="00EB4D9B"/>
    <w:rsid w:val="00EB51C9"/>
    <w:rsid w:val="00EB7436"/>
    <w:rsid w:val="00EC37AB"/>
    <w:rsid w:val="00ED3A62"/>
    <w:rsid w:val="00EF0BB9"/>
    <w:rsid w:val="00EF1827"/>
    <w:rsid w:val="00EF6BB5"/>
    <w:rsid w:val="00F41E9C"/>
    <w:rsid w:val="00F840BF"/>
    <w:rsid w:val="00F907C3"/>
    <w:rsid w:val="00FA6B6F"/>
    <w:rsid w:val="00FC3F5A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10117&amp;date=01.04.2022" TargetMode="External"/><Relationship Id="rId18" Type="http://schemas.openxmlformats.org/officeDocument/2006/relationships/hyperlink" Target="https://login.consultant.ru/link/?req=doc&amp;base=LAW&amp;n=345421&amp;dst=100075&amp;field=134&amp;date=01.04.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0117&amp;dst=30&amp;field=134&amp;date=01.04.2022" TargetMode="External"/><Relationship Id="rId17" Type="http://schemas.openxmlformats.org/officeDocument/2006/relationships/hyperlink" Target="https://login.consultant.ru/link/?req=doc&amp;base=LAW&amp;n=410117&amp;dst=100137&amp;field=134&amp;date=01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st=100145&amp;field=134&amp;date=01.04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2586&amp;date=01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0117&amp;dst=34&amp;field=134&amp;date=01.04.2022" TargetMode="External"/><Relationship Id="rId10" Type="http://schemas.openxmlformats.org/officeDocument/2006/relationships/hyperlink" Target="https://login.consultant.ru/link/?req=doc&amp;base=LAW&amp;n=410117&amp;dst=45&amp;field=134&amp;date=01.04.2022" TargetMode="External"/><Relationship Id="rId19" Type="http://schemas.openxmlformats.org/officeDocument/2006/relationships/hyperlink" Target="https://login.consultant.ru/link/?req=doc&amp;base=LAW&amp;n=410117&amp;dst=100215&amp;field=134&amp;date=01.04.20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410117&amp;date=01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27D7-D711-4730-9A9B-EF684437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novog_sovet@mail.ru</cp:lastModifiedBy>
  <cp:revision>12</cp:revision>
  <cp:lastPrinted>2022-08-02T10:20:00Z</cp:lastPrinted>
  <dcterms:created xsi:type="dcterms:W3CDTF">2022-04-07T09:50:00Z</dcterms:created>
  <dcterms:modified xsi:type="dcterms:W3CDTF">2022-08-02T10:21:00Z</dcterms:modified>
</cp:coreProperties>
</file>